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DD2765C" w:rsidR="007B133F" w:rsidRPr="005037C0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dnia </w:t>
      </w:r>
      <w:r w:rsidR="003E2E0C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34222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BB516F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BB516F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4BFB5FEF" w:rsidR="007B133F" w:rsidRPr="00040B6B" w:rsidRDefault="00040B6B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040B6B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ZPOW.501.7.2025</w:t>
      </w:r>
    </w:p>
    <w:p w14:paraId="4AA92A67" w14:textId="410E0F01" w:rsidR="00607C57" w:rsidRPr="00607C57" w:rsidRDefault="007B133F" w:rsidP="009D4ED2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4A16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,</w:t>
      </w:r>
      <w:r w:rsidR="00EE2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w wyborach uzupełniających do Senatu Rzeczypospolitej Polskiej zarządzonych na dzień </w:t>
      </w:r>
      <w:r w:rsidR="00BB5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16</w:t>
      </w:r>
      <w:r w:rsidR="00EE2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BB5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marca</w:t>
      </w:r>
      <w:r w:rsidR="00EE2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202</w:t>
      </w:r>
      <w:r w:rsidR="00EC6D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5</w:t>
      </w:r>
      <w:r w:rsidR="00EE2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r.</w:t>
      </w:r>
      <w:r w:rsidR="00BF41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w okręgu wyborczym nr </w:t>
      </w:r>
      <w:r w:rsidR="00BB516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3</w:t>
      </w:r>
      <w:r w:rsidR="00BF41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3</w:t>
      </w:r>
    </w:p>
    <w:bookmarkEnd w:id="0"/>
    <w:bookmarkEnd w:id="1"/>
    <w:p w14:paraId="1DE7873D" w14:textId="2D818733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Pr="003930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pl-PL"/>
        </w:rPr>
        <w:t xml:space="preserve"> </w:t>
      </w:r>
      <w:r w:rsidR="00BB516F" w:rsidRPr="00BB516F">
        <w:rPr>
          <w:rFonts w:ascii="Times New Roman" w:hAnsi="Times New Roman" w:cs="Times New Roman"/>
          <w:bCs/>
          <w:sz w:val="26"/>
          <w:szCs w:val="26"/>
        </w:rPr>
        <w:t>(Dz. U. z 2023 r. poz. 2408 oraz z 2024 r. poz. 721, 1572 i 1907)</w:t>
      </w:r>
      <w:r w:rsidR="00BB516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254A">
        <w:rPr>
          <w:rFonts w:ascii="Times New Roman" w:hAnsi="Times New Roman" w:cs="Times New Roman"/>
          <w:bCs/>
          <w:sz w:val="26"/>
          <w:szCs w:val="26"/>
        </w:rPr>
        <w:t xml:space="preserve">w związku z wyborami do </w:t>
      </w:r>
      <w:r w:rsidR="00EE254A" w:rsidRPr="00EE254A">
        <w:rPr>
          <w:rFonts w:ascii="Times New Roman" w:hAnsi="Times New Roman" w:cs="Times New Roman"/>
          <w:bCs/>
          <w:sz w:val="26"/>
          <w:szCs w:val="26"/>
        </w:rPr>
        <w:t>Senatu Rzeczypospolitej Polskiej zarządzony</w:t>
      </w:r>
      <w:r w:rsidR="00BF41A1">
        <w:rPr>
          <w:rFonts w:ascii="Times New Roman" w:hAnsi="Times New Roman" w:cs="Times New Roman"/>
          <w:bCs/>
          <w:sz w:val="26"/>
          <w:szCs w:val="26"/>
        </w:rPr>
        <w:t>mi</w:t>
      </w:r>
      <w:r w:rsidR="00EE254A" w:rsidRPr="00EE254A">
        <w:rPr>
          <w:rFonts w:ascii="Times New Roman" w:hAnsi="Times New Roman" w:cs="Times New Roman"/>
          <w:bCs/>
          <w:sz w:val="26"/>
          <w:szCs w:val="26"/>
        </w:rPr>
        <w:t xml:space="preserve"> na</w:t>
      </w:r>
      <w:r w:rsidR="003736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E254A" w:rsidRPr="00EE254A">
        <w:rPr>
          <w:rFonts w:ascii="Times New Roman" w:hAnsi="Times New Roman" w:cs="Times New Roman"/>
          <w:bCs/>
          <w:sz w:val="26"/>
          <w:szCs w:val="26"/>
        </w:rPr>
        <w:t xml:space="preserve">dzień </w:t>
      </w:r>
      <w:r w:rsidR="00BB516F">
        <w:rPr>
          <w:rFonts w:ascii="Times New Roman" w:hAnsi="Times New Roman" w:cs="Times New Roman"/>
          <w:bCs/>
          <w:sz w:val="26"/>
          <w:szCs w:val="26"/>
        </w:rPr>
        <w:t>16 marca 2025 r</w:t>
      </w:r>
      <w:r w:rsidR="00BF41A1">
        <w:rPr>
          <w:rFonts w:ascii="Times New Roman" w:hAnsi="Times New Roman" w:cs="Times New Roman"/>
          <w:bCs/>
          <w:sz w:val="26"/>
          <w:szCs w:val="26"/>
        </w:rPr>
        <w:t xml:space="preserve">. w okręgu wyborczym nr </w:t>
      </w:r>
      <w:r w:rsidR="00BB516F">
        <w:rPr>
          <w:rFonts w:ascii="Times New Roman" w:hAnsi="Times New Roman" w:cs="Times New Roman"/>
          <w:bCs/>
          <w:sz w:val="26"/>
          <w:szCs w:val="26"/>
        </w:rPr>
        <w:t>3</w:t>
      </w:r>
      <w:r w:rsidR="00BF41A1">
        <w:rPr>
          <w:rFonts w:ascii="Times New Roman" w:hAnsi="Times New Roman" w:cs="Times New Roman"/>
          <w:bCs/>
          <w:sz w:val="26"/>
          <w:szCs w:val="26"/>
        </w:rPr>
        <w:t>3</w:t>
      </w:r>
      <w:r w:rsidR="00EE254A">
        <w:rPr>
          <w:rFonts w:ascii="Times New Roman" w:hAnsi="Times New Roman" w:cs="Times New Roman"/>
          <w:bCs/>
          <w:sz w:val="26"/>
          <w:szCs w:val="26"/>
        </w:rPr>
        <w:t>, zwanych dalej „wyborami”</w:t>
      </w:r>
      <w:r w:rsidR="00622DB5" w:rsidRPr="003930F1">
        <w:rPr>
          <w:rFonts w:ascii="Times New Roman" w:hAnsi="Times New Roman" w:cs="Times New Roman"/>
          <w:bCs/>
          <w:sz w:val="26"/>
          <w:szCs w:val="26"/>
        </w:rPr>
        <w:t>.</w:t>
      </w:r>
    </w:p>
    <w:p w14:paraId="0015686A" w14:textId="07A374A5" w:rsidR="00BF41A1" w:rsidRDefault="00BF41A1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7D558B">
        <w:rPr>
          <w:rFonts w:ascii="Times New Roman" w:hAnsi="Times New Roman"/>
          <w:bCs/>
          <w:color w:val="000000" w:themeColor="text1"/>
          <w:sz w:val="26"/>
          <w:szCs w:val="26"/>
        </w:rPr>
        <w:t>Państwowa Komisja Wyborcza przypomina również, że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p</w:t>
      </w:r>
      <w:r w:rsidRPr="00BF41A1">
        <w:rPr>
          <w:rFonts w:ascii="Times New Roman" w:hAnsi="Times New Roman"/>
          <w:b/>
          <w:bCs/>
          <w:color w:val="000000" w:themeColor="text1"/>
          <w:sz w:val="26"/>
          <w:szCs w:val="26"/>
        </w:rPr>
        <w:t>rawo wybierania senatora w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 </w:t>
      </w:r>
      <w:r w:rsidRPr="00BF41A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wyborach uzupełniających do Senatu Rzeczypospolitej Polskiej w okręgu wyborczym nr </w:t>
      </w:r>
      <w:r w:rsidR="00BB516F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33</w:t>
      </w:r>
      <w:r w:rsidRPr="00BF41A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Pr="00EB7EBF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mają wyłącznie wyborcy</w:t>
      </w:r>
      <w:r w:rsidRPr="00BF41A1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(osoby posiadające obywatelstwo polskie, które najpóźniej w dniu głosowania kończą 18 lat), </w:t>
      </w:r>
      <w:r w:rsidRPr="007D558B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stale zamieszkali na obszarze okręgu wyborczego nr</w:t>
      </w:r>
      <w:r w:rsidR="00BB516F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33</w:t>
      </w:r>
      <w:r w:rsidRPr="007D558B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, ujęci w stałym obwodzie głosowania w Centralnym Rejestrze Wyborców na obszarze tego okręgu wyborczego. </w:t>
      </w:r>
    </w:p>
    <w:p w14:paraId="4D97441C" w14:textId="21177217" w:rsidR="007D558B" w:rsidRPr="007D558B" w:rsidRDefault="007D558B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558B">
        <w:rPr>
          <w:rFonts w:ascii="Times New Roman" w:hAnsi="Times New Roman" w:cs="Times New Roman"/>
          <w:bCs/>
          <w:sz w:val="26"/>
          <w:szCs w:val="26"/>
        </w:rPr>
        <w:t xml:space="preserve">Należy pamiętać, że we wszystkich przypadkach, o których mowa poniżej, </w:t>
      </w:r>
      <w:r w:rsidRPr="007D558B">
        <w:rPr>
          <w:rFonts w:ascii="Times New Roman" w:hAnsi="Times New Roman" w:cs="Times New Roman"/>
          <w:bCs/>
          <w:sz w:val="26"/>
          <w:szCs w:val="26"/>
          <w:u w:val="single"/>
        </w:rPr>
        <w:t xml:space="preserve">o dotrzymaniu terminu decyduje </w:t>
      </w:r>
      <w:r w:rsidR="008D2A16">
        <w:rPr>
          <w:rFonts w:ascii="Times New Roman" w:hAnsi="Times New Roman" w:cs="Times New Roman"/>
          <w:bCs/>
          <w:sz w:val="26"/>
          <w:szCs w:val="26"/>
          <w:u w:val="single"/>
        </w:rPr>
        <w:t xml:space="preserve">data </w:t>
      </w:r>
      <w:r w:rsidRPr="007D558B">
        <w:rPr>
          <w:rFonts w:ascii="Times New Roman" w:hAnsi="Times New Roman" w:cs="Times New Roman"/>
          <w:bCs/>
          <w:sz w:val="26"/>
          <w:szCs w:val="26"/>
          <w:u w:val="single"/>
        </w:rPr>
        <w:t>otrzymani</w:t>
      </w:r>
      <w:r w:rsidR="008D2A16">
        <w:rPr>
          <w:rFonts w:ascii="Times New Roman" w:hAnsi="Times New Roman" w:cs="Times New Roman"/>
          <w:bCs/>
          <w:sz w:val="26"/>
          <w:szCs w:val="26"/>
          <w:u w:val="single"/>
        </w:rPr>
        <w:t>a</w:t>
      </w:r>
      <w:r w:rsidRPr="007D558B">
        <w:rPr>
          <w:rFonts w:ascii="Times New Roman" w:hAnsi="Times New Roman" w:cs="Times New Roman"/>
          <w:bCs/>
          <w:sz w:val="26"/>
          <w:szCs w:val="26"/>
          <w:u w:val="single"/>
        </w:rPr>
        <w:t xml:space="preserve"> wniosku przez właściwy organ</w:t>
      </w:r>
      <w:r w:rsidRPr="007D558B">
        <w:rPr>
          <w:rFonts w:ascii="Times New Roman" w:hAnsi="Times New Roman" w:cs="Times New Roman"/>
          <w:bCs/>
          <w:sz w:val="26"/>
          <w:szCs w:val="26"/>
        </w:rPr>
        <w:t xml:space="preserve">, a nie data </w:t>
      </w:r>
      <w:r w:rsidR="008D2A16">
        <w:rPr>
          <w:rFonts w:ascii="Times New Roman" w:hAnsi="Times New Roman" w:cs="Times New Roman"/>
          <w:bCs/>
          <w:sz w:val="26"/>
          <w:szCs w:val="26"/>
        </w:rPr>
        <w:t>nadania przesyłki</w:t>
      </w:r>
      <w:r w:rsidRPr="007D558B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7BB13E5F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EB7E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Centralnym Rejestrze Wyborców 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 obszarze okręgu wyborczego nr 33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1938346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właściwym dla siebie 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1C3F00E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komitetach wyborczych biorących udział w wyborach oraz zarejestrowanych kandydatach</w:t>
      </w:r>
      <w:r w:rsidR="00BF41A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 senatora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oraz formach głosowania.</w:t>
      </w:r>
    </w:p>
    <w:p w14:paraId="3B5C4698" w14:textId="7626497F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 te są przekazywane wyborcy, na jego wniosek, przez 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rezydenta 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iasta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Krakowa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406B93C2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="00EB7E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Urzędu 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Miasta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EB7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Krakowa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135EAC37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3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F256F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z późn.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00C14BE4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2, i niezdolności do samodzielnej egzystencji, ustalone na podstawie art. 13 ust. 5 ustawy z dnia 17 grudnia 1998 r. о emeryturach i rentach z Funduszu Ubezpieczeń Społecznych</w:t>
      </w:r>
      <w:r w:rsidR="00F25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256F2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F256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256F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F256F2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3"/>
    <w:p w14:paraId="781766A4" w14:textId="0CF242F5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zaliczeniu do I grupy inwalidów;</w:t>
      </w:r>
    </w:p>
    <w:p w14:paraId="34C99951" w14:textId="15F50664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EB7EBF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5C6EB5E8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F41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BF41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BF41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BF41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BF41A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BF41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1B775303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0A1080DD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6AE9DE5D" w14:textId="2710DBE1" w:rsidR="00126770" w:rsidRPr="0037361A" w:rsidRDefault="00B95C4E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EB7EB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EB7EB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EB7EB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przez wyborcę </w:t>
      </w:r>
      <w:r w:rsidR="00D731D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Komisarzowi Wyborczemu </w:t>
      </w:r>
      <w:r w:rsidR="00F256F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Krakowie I</w:t>
      </w:r>
      <w:r w:rsidR="00F256F2" w:rsidRPr="00F256F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F256F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FF7D06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, tj.</w:t>
      </w:r>
      <w:r w:rsidR="0037361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FF7D0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do</w:t>
      </w:r>
      <w:r w:rsidR="00EB7E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FF7D0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dnia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F256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3 marca 2025 r.</w:t>
      </w:r>
    </w:p>
    <w:p w14:paraId="27A556D0" w14:textId="659035AE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EB7EB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zgłosić zamiar głosowania korespondencyjnego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najpóźniej </w:t>
      </w:r>
      <w:r w:rsidR="00334CA5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7D558B" w:rsidRPr="00271AA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7D558B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tj.</w:t>
      </w:r>
      <w:r w:rsidR="007D558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do dnia </w:t>
      </w:r>
      <w:r w:rsidR="00F256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11 marca 2025</w:t>
      </w:r>
      <w:r w:rsidR="00EB7E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F256F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r.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7D558B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, tj. do dnia </w:t>
      </w:r>
      <w:r w:rsidR="00F256F2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14 marca 2025 r.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</w:t>
      </w:r>
      <w:r w:rsidRPr="00C7634F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własnoręcznym podpisem,</w:t>
      </w:r>
    </w:p>
    <w:p w14:paraId="65665882" w14:textId="4268E583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58936357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Pomocniczy wzór zgłoszenia zamiaru głosowania korespondencyjnego stanowi załącznik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7A02AA64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bookmarkStart w:id="4" w:name="_Hlk187682079"/>
      <w:r w:rsidR="00EB7EBF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bookmarkEnd w:id="4"/>
      <w:r w:rsidR="00EB7EBF" w:rsidRP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Urzędu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Miasta Krakowa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131C61CB" w14:textId="2520C34F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8B719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8B71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ki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8B719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8B71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8B719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8B719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8B71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8B719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</w:t>
      </w:r>
      <w:r w:rsidR="00F256F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256F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 U. z</w:t>
      </w:r>
      <w:r w:rsidR="00F256F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poz. 1557, 1222, 1717</w:t>
      </w:r>
      <w:r w:rsidR="00F256F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6F7F5B1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EB7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6</w:t>
      </w:r>
      <w:r w:rsidRPr="00EB7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dnia przed dniem wyborów</w:t>
      </w:r>
      <w:r w:rsidR="00C01B22" w:rsidRPr="00EB7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tj.</w:t>
      </w:r>
      <w:r w:rsidR="00C01B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do dnia </w:t>
      </w:r>
      <w:r w:rsidR="00F256F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10 marca </w:t>
      </w:r>
      <w:r w:rsidR="006C15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2025 r.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F737D2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</w:t>
      </w:r>
      <w:r w:rsidRPr="00EB7E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otrzyma pakiet </w:t>
      </w:r>
      <w:r w:rsidRPr="00F7314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wyborczy</w:t>
      </w:r>
      <w:r w:rsidRPr="00EB7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nie później niż 2. dnia przed dniem wyborów</w:t>
      </w:r>
      <w:r w:rsidR="007D558B" w:rsidRPr="00EB7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tj. </w:t>
      </w:r>
      <w:r w:rsidR="007D558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do dnia</w:t>
      </w:r>
      <w:r w:rsidR="006C15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14 marca 2025 r.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przypadku nieobecności wyborcy pod wskazanym adresem doręczający umieści zawiadomienie o terminie powtórnego doręczenia w skrzynce na listy lub, gdy nie jest to możliwe, na drzwiach mieszkania. Termin powtórnego doręczenia nie może być dłuższy niż 1 dzień od dnia pierwszego doręczenia.</w:t>
      </w:r>
    </w:p>
    <w:p w14:paraId="5D872986" w14:textId="22E76CCC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C01B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C01B2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C01B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C01B2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instrukcja głosowania korespondencyjnego i ewentualnie </w:t>
      </w:r>
      <w:r w:rsidR="00C01B2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nakładk</w:t>
      </w:r>
      <w:r w:rsidR="00C01B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C01B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C01B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C01B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C01B2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0EC3B2A3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C01B2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C01B2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C01B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C01B2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C01B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C01B2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C01B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6C126AA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</w:t>
      </w:r>
      <w:r w:rsidR="00C01B2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C01B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C01B2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C01B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C01B2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C01B2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72C38806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DB37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kartą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04A8C334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 przez</w:t>
      </w:r>
      <w:r w:rsidR="008B719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wyborcę, który otrzymał pakiet wyborczy</w:t>
      </w:r>
      <w:r w:rsidR="00EB7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06598B6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Polskiej usytuowanej na obszarze 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miasta Krakowa;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5E16C8A3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8B719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może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1EDD5E8B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6C15C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z późn.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5CFC0CED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6C15C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6C15C5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6C15C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6C15C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6C15C5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6C15C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466909FD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115BB768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2976D1F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Prezydentem Miasta Krakowa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lub przed innym pracownikiem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rzędu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Miasta </w:t>
      </w:r>
      <w:r w:rsidR="00EB7E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Krakowa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upoważnionym przez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rezydenta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iasta do sporządzania aktów pełnomocnictwa do głosowania. </w:t>
      </w:r>
    </w:p>
    <w:p w14:paraId="7BCEB18E" w14:textId="68ACB73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Prezydenta Miasta Krakowa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4E61858F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3538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3538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9. dniu przed dniem wyborów</w:t>
      </w:r>
      <w:r w:rsidR="003A7C32" w:rsidRPr="003538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tj.</w:t>
      </w:r>
      <w:r w:rsidR="003A7C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do dnia</w:t>
      </w:r>
      <w:r w:rsidR="006C15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7 marca 2025 r.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8C3ADA2" w14:textId="77777777" w:rsidR="006C15C5" w:rsidRPr="00C049DD" w:rsidRDefault="00095288" w:rsidP="006C15C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fizycznych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informatyzacji działalności podmiotów realizujących zadania publiczne</w:t>
      </w:r>
      <w:r w:rsidR="006C15C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6C15C5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(Dz. U. z 2024 r. poz. 1557, 1222, 1717).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3A4EDB92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35383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020C9A12" w14:textId="6D2F75B9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Akt pełnomocnictwa jest sporządzany z zasady w miejscu stałego zamieszkania wyborcy, chyba że wyborca we wniosku zwróci się o jego sporządzenie w innym miejscu na obszarze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miasta Krakowa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4C8097B2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stosownego oświadczenia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rezydentowi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iasta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Krakowa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rzędu 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Miasta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3EAD6CC5" w14:textId="020E9F14" w:rsidR="00535578" w:rsidRPr="00C9485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</w:t>
      </w:r>
      <w:r w:rsidR="00B83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6EE3001" w:rsidR="007B133F" w:rsidRPr="0037361A" w:rsidRDefault="00535578" w:rsidP="0037361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najwcześniej w 44. </w:t>
      </w:r>
      <w:r w:rsid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</w:t>
      </w:r>
      <w:r w:rsidR="0029217A"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niu</w:t>
      </w:r>
      <w:r w:rsid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</w:t>
      </w:r>
      <w:r w:rsidR="0029217A"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a </w:t>
      </w:r>
      <w:r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najpóźniej w 3. dniu przed dniem wyborów</w:t>
      </w:r>
      <w:r w:rsidR="007238AC"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tj. </w:t>
      </w:r>
      <w:r w:rsidR="007238A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od dnia </w:t>
      </w:r>
      <w:r w:rsidR="006C15C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31 stycznia 2025 r. </w:t>
      </w:r>
      <w:r w:rsidR="007238A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do dnia </w:t>
      </w:r>
      <w:r w:rsidR="006C15C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13 marca 2025 r.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83A8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 </w:t>
      </w:r>
      <w:r w:rsidR="00726EC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Prezydenta Miasta Krakowa</w:t>
      </w:r>
      <w:r w:rsidR="00B83A8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53AA7188" w14:textId="52D285A1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</w:t>
      </w:r>
      <w:r w:rsidR="003D0DE6" w:rsidRPr="00EF051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wyborców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stałym obwodzie głosowania właściwym dla adresu zameldowania na pobyt stały lub adresu stałego zamieszkania. </w:t>
      </w:r>
    </w:p>
    <w:p w14:paraId="57BA6FBD" w14:textId="4ADD1901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Miasta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oraz w obwieszczeniu </w:t>
      </w:r>
      <w:r w:rsidR="00726E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Prezydenta Miasta Krakowa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 numerach i granicach obwodów głosowania, najpóźniej </w:t>
      </w:r>
      <w:r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BC1DDE"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30. dniu</w:t>
      </w:r>
      <w:r w:rsidR="009C1384"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BC1DDE"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dniem wyborów</w:t>
      </w:r>
      <w:r w:rsidR="007238AC" w:rsidRPr="003538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tj.</w:t>
      </w:r>
      <w:r w:rsidR="007238A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35383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</w:t>
      </w:r>
      <w:r w:rsidR="007238A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</w:t>
      </w:r>
      <w:r w:rsidR="0035383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u</w:t>
      </w:r>
      <w:r w:rsidR="007238A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6C15C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14 lutego 2025 r.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2B66F356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2B966EFA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244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</w:t>
      </w:r>
      <w:r w:rsidR="009E16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C00DB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zaufania,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539F6883" w:rsidR="007B133F" w:rsidRPr="00C049DD" w:rsidRDefault="00540282" w:rsidP="00B83A83">
      <w:pPr>
        <w:suppressAutoHyphens/>
        <w:spacing w:before="12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komisja jest obowiązana do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przekazania ustnie treści obwieszczeń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726EC1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  <w:bookmarkEnd w:id="8"/>
    </w:p>
    <w:sectPr w:rsidR="007B133F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E17F" w14:textId="77777777" w:rsidR="00CD1202" w:rsidRDefault="00CD1202">
      <w:pPr>
        <w:spacing w:after="0" w:line="240" w:lineRule="auto"/>
      </w:pPr>
      <w:r>
        <w:separator/>
      </w:r>
    </w:p>
  </w:endnote>
  <w:endnote w:type="continuationSeparator" w:id="0">
    <w:p w14:paraId="7274DE40" w14:textId="77777777" w:rsidR="00CD1202" w:rsidRDefault="00CD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9DBF" w14:textId="77777777" w:rsidR="00CD1202" w:rsidRDefault="00CD1202">
      <w:pPr>
        <w:spacing w:after="0" w:line="240" w:lineRule="auto"/>
      </w:pPr>
      <w:r>
        <w:separator/>
      </w:r>
    </w:p>
  </w:footnote>
  <w:footnote w:type="continuationSeparator" w:id="0">
    <w:p w14:paraId="4A9A5703" w14:textId="77777777" w:rsidR="00CD1202" w:rsidRDefault="00CD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6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15"/>
  </w:num>
  <w:num w:numId="15">
    <w:abstractNumId w:val="3"/>
  </w:num>
  <w:num w:numId="16">
    <w:abstractNumId w:val="1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40B6B"/>
    <w:rsid w:val="00054B49"/>
    <w:rsid w:val="00070281"/>
    <w:rsid w:val="00077B69"/>
    <w:rsid w:val="000835BD"/>
    <w:rsid w:val="000929D2"/>
    <w:rsid w:val="00095288"/>
    <w:rsid w:val="000C383D"/>
    <w:rsid w:val="000D4BD4"/>
    <w:rsid w:val="001122AE"/>
    <w:rsid w:val="00113D5D"/>
    <w:rsid w:val="001234B5"/>
    <w:rsid w:val="00124312"/>
    <w:rsid w:val="00126770"/>
    <w:rsid w:val="001343F0"/>
    <w:rsid w:val="00134878"/>
    <w:rsid w:val="001606A1"/>
    <w:rsid w:val="00182AD6"/>
    <w:rsid w:val="0018331A"/>
    <w:rsid w:val="0018720F"/>
    <w:rsid w:val="00192864"/>
    <w:rsid w:val="00193504"/>
    <w:rsid w:val="001B6843"/>
    <w:rsid w:val="001C70C0"/>
    <w:rsid w:val="001C741A"/>
    <w:rsid w:val="001E6A73"/>
    <w:rsid w:val="001F41F9"/>
    <w:rsid w:val="00203141"/>
    <w:rsid w:val="00207124"/>
    <w:rsid w:val="00226D0F"/>
    <w:rsid w:val="00244254"/>
    <w:rsid w:val="00253E94"/>
    <w:rsid w:val="00271AA0"/>
    <w:rsid w:val="00282399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4222F"/>
    <w:rsid w:val="00353836"/>
    <w:rsid w:val="00354FA6"/>
    <w:rsid w:val="00356765"/>
    <w:rsid w:val="0037361A"/>
    <w:rsid w:val="003809A2"/>
    <w:rsid w:val="003930F1"/>
    <w:rsid w:val="003A2E5A"/>
    <w:rsid w:val="003A6DCA"/>
    <w:rsid w:val="003A7C32"/>
    <w:rsid w:val="003C0FCB"/>
    <w:rsid w:val="003C28B6"/>
    <w:rsid w:val="003D0DE6"/>
    <w:rsid w:val="003E2E0C"/>
    <w:rsid w:val="003F36A0"/>
    <w:rsid w:val="003F58E4"/>
    <w:rsid w:val="00414109"/>
    <w:rsid w:val="00415360"/>
    <w:rsid w:val="00417E9F"/>
    <w:rsid w:val="0042295D"/>
    <w:rsid w:val="00422C5F"/>
    <w:rsid w:val="0042409E"/>
    <w:rsid w:val="00434ED9"/>
    <w:rsid w:val="004467D8"/>
    <w:rsid w:val="00454D4D"/>
    <w:rsid w:val="004570CE"/>
    <w:rsid w:val="00461409"/>
    <w:rsid w:val="00475277"/>
    <w:rsid w:val="00480E0C"/>
    <w:rsid w:val="004836CF"/>
    <w:rsid w:val="004A0AE7"/>
    <w:rsid w:val="004A16B5"/>
    <w:rsid w:val="004B320A"/>
    <w:rsid w:val="004D4B3F"/>
    <w:rsid w:val="004D510B"/>
    <w:rsid w:val="004D6254"/>
    <w:rsid w:val="004E256C"/>
    <w:rsid w:val="005037C0"/>
    <w:rsid w:val="00505585"/>
    <w:rsid w:val="00507CB8"/>
    <w:rsid w:val="005223BA"/>
    <w:rsid w:val="00535578"/>
    <w:rsid w:val="005356DF"/>
    <w:rsid w:val="00540282"/>
    <w:rsid w:val="00546B72"/>
    <w:rsid w:val="00562880"/>
    <w:rsid w:val="005732FC"/>
    <w:rsid w:val="00586E9B"/>
    <w:rsid w:val="0059049D"/>
    <w:rsid w:val="00594E86"/>
    <w:rsid w:val="005A2A4B"/>
    <w:rsid w:val="005C55EF"/>
    <w:rsid w:val="005C7A13"/>
    <w:rsid w:val="005D7C5D"/>
    <w:rsid w:val="005E0C73"/>
    <w:rsid w:val="00607C57"/>
    <w:rsid w:val="00622DB5"/>
    <w:rsid w:val="0063619E"/>
    <w:rsid w:val="00637F71"/>
    <w:rsid w:val="00683CA4"/>
    <w:rsid w:val="00685DD5"/>
    <w:rsid w:val="006C15C5"/>
    <w:rsid w:val="006E63BB"/>
    <w:rsid w:val="006F3790"/>
    <w:rsid w:val="006F40B8"/>
    <w:rsid w:val="007238AC"/>
    <w:rsid w:val="00726EC1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558B"/>
    <w:rsid w:val="007D6A68"/>
    <w:rsid w:val="00833AB7"/>
    <w:rsid w:val="00833B1B"/>
    <w:rsid w:val="0083592B"/>
    <w:rsid w:val="00851565"/>
    <w:rsid w:val="00860F4B"/>
    <w:rsid w:val="008712D1"/>
    <w:rsid w:val="008B7192"/>
    <w:rsid w:val="008C2067"/>
    <w:rsid w:val="008C37C3"/>
    <w:rsid w:val="008D1F1B"/>
    <w:rsid w:val="008D202E"/>
    <w:rsid w:val="008D2A16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C04F3"/>
    <w:rsid w:val="009C1384"/>
    <w:rsid w:val="009C3CEF"/>
    <w:rsid w:val="009D02E7"/>
    <w:rsid w:val="009D0A6E"/>
    <w:rsid w:val="009D4ED2"/>
    <w:rsid w:val="009D7791"/>
    <w:rsid w:val="009E163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36249"/>
    <w:rsid w:val="00B62C6A"/>
    <w:rsid w:val="00B66264"/>
    <w:rsid w:val="00B66A23"/>
    <w:rsid w:val="00B83A83"/>
    <w:rsid w:val="00B95C4E"/>
    <w:rsid w:val="00BA239C"/>
    <w:rsid w:val="00BA35C3"/>
    <w:rsid w:val="00BA546F"/>
    <w:rsid w:val="00BB27E8"/>
    <w:rsid w:val="00BB516F"/>
    <w:rsid w:val="00BC1DDE"/>
    <w:rsid w:val="00BC5E32"/>
    <w:rsid w:val="00BF41A1"/>
    <w:rsid w:val="00C00DBC"/>
    <w:rsid w:val="00C01B22"/>
    <w:rsid w:val="00C049DD"/>
    <w:rsid w:val="00C060B9"/>
    <w:rsid w:val="00C2202D"/>
    <w:rsid w:val="00C527BB"/>
    <w:rsid w:val="00C63F8A"/>
    <w:rsid w:val="00C650CF"/>
    <w:rsid w:val="00C7634F"/>
    <w:rsid w:val="00C76EDB"/>
    <w:rsid w:val="00C81B88"/>
    <w:rsid w:val="00C93C25"/>
    <w:rsid w:val="00C94851"/>
    <w:rsid w:val="00CA2D1B"/>
    <w:rsid w:val="00CC0E91"/>
    <w:rsid w:val="00CD1202"/>
    <w:rsid w:val="00CE6ADB"/>
    <w:rsid w:val="00CF305C"/>
    <w:rsid w:val="00CF3477"/>
    <w:rsid w:val="00CF423D"/>
    <w:rsid w:val="00D06AF4"/>
    <w:rsid w:val="00D248C2"/>
    <w:rsid w:val="00D325D9"/>
    <w:rsid w:val="00D507AD"/>
    <w:rsid w:val="00D63499"/>
    <w:rsid w:val="00D731DF"/>
    <w:rsid w:val="00D77E38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42D12"/>
    <w:rsid w:val="00E46FEE"/>
    <w:rsid w:val="00E54153"/>
    <w:rsid w:val="00EB691F"/>
    <w:rsid w:val="00EB7484"/>
    <w:rsid w:val="00EB7EBF"/>
    <w:rsid w:val="00EC6D77"/>
    <w:rsid w:val="00EC6DE8"/>
    <w:rsid w:val="00EC7F84"/>
    <w:rsid w:val="00ED1312"/>
    <w:rsid w:val="00EE254A"/>
    <w:rsid w:val="00EF0515"/>
    <w:rsid w:val="00EF37A0"/>
    <w:rsid w:val="00F140E1"/>
    <w:rsid w:val="00F256F2"/>
    <w:rsid w:val="00F308D8"/>
    <w:rsid w:val="00F33DD2"/>
    <w:rsid w:val="00F44C3F"/>
    <w:rsid w:val="00F63467"/>
    <w:rsid w:val="00F66E63"/>
    <w:rsid w:val="00F73148"/>
    <w:rsid w:val="00F74D0C"/>
    <w:rsid w:val="00F774C3"/>
    <w:rsid w:val="00F87FF7"/>
    <w:rsid w:val="00FB63FC"/>
    <w:rsid w:val="00FE353A"/>
    <w:rsid w:val="00FE389F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F41A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F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4B55-044B-452B-A8C4-715D04E2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2508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Oliwia Lalewicz</cp:lastModifiedBy>
  <cp:revision>6</cp:revision>
  <cp:lastPrinted>2025-01-09T14:28:00Z</cp:lastPrinted>
  <dcterms:created xsi:type="dcterms:W3CDTF">2025-01-13T16:39:00Z</dcterms:created>
  <dcterms:modified xsi:type="dcterms:W3CDTF">2025-01-17T08:48:00Z</dcterms:modified>
</cp:coreProperties>
</file>